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9315" w14:textId="77777777" w:rsidR="006C0EC8" w:rsidRPr="006C0EC8" w:rsidRDefault="006C0EC8" w:rsidP="006C0EC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r w:rsidRPr="006C0E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Lista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informaţiilor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interes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public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comunicate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din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oficiu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 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potrivit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art. 5 din Legea nr. 544/2001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privind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liberul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acces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informaţiile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interes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public,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modificată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şi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completată</w:t>
      </w:r>
      <w:proofErr w:type="spellEnd"/>
    </w:p>
    <w:p w14:paraId="2CEF9154" w14:textId="1F842197" w:rsidR="006C0EC8" w:rsidRPr="006C0EC8" w:rsidRDefault="006C0EC8" w:rsidP="003609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normative care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reglementează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organizarea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şi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funcţionarea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Primăriei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comunei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F</w:t>
      </w:r>
      <w:r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ârdea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 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și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Consiliului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 </w:t>
      </w:r>
      <w:proofErr w:type="spellStart"/>
      <w:r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Fârdea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</w:p>
    <w:p w14:paraId="7DA7115D" w14:textId="77777777" w:rsidR="006C0EC8" w:rsidRPr="006C0EC8" w:rsidRDefault="006C0EC8" w:rsidP="003609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Structura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organizatorică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atribuţiile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compartimentelor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programul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funcţionare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</w:p>
    <w:p w14:paraId="0D52126D" w14:textId="59566483" w:rsidR="006C0EC8" w:rsidRPr="006C0EC8" w:rsidRDefault="006C0EC8" w:rsidP="003609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Numele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şi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prenumele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persoanelor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din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conducerea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Primăriei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comunei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Fârdea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şi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ale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persoanei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responsabile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difuzarea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informaţiilor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publice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</w:p>
    <w:p w14:paraId="209999F8" w14:textId="535A6FFA" w:rsidR="006C0EC8" w:rsidRPr="006C0EC8" w:rsidRDefault="006C0EC8" w:rsidP="003609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Coordonatele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contact ale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Primăriei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și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Consiliului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 </w:t>
      </w:r>
      <w:proofErr w:type="spellStart"/>
      <w:r w:rsidR="00A57B2A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Fârdea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respectiv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: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denumirea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sediul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numerele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proofErr w:type="gram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telefon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adresa</w:t>
      </w:r>
      <w:proofErr w:type="spellEnd"/>
      <w:proofErr w:type="gram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e-mail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şi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adresa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paginii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Internet; </w:t>
      </w:r>
    </w:p>
    <w:p w14:paraId="3FB485AD" w14:textId="77777777" w:rsidR="006C0EC8" w:rsidRPr="006C0EC8" w:rsidRDefault="006C0EC8" w:rsidP="003609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Sursele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financiare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bugetul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şi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bilanţul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contabil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</w:p>
    <w:p w14:paraId="0B791BBD" w14:textId="5E114C68" w:rsidR="006C0EC8" w:rsidRPr="006C0EC8" w:rsidRDefault="006C0EC8" w:rsidP="003609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Strategia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Comunei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proofErr w:type="spellStart"/>
      <w:r w:rsidR="00A57B2A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Fârdea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</w:p>
    <w:p w14:paraId="4029C5A0" w14:textId="77777777" w:rsidR="006C0EC8" w:rsidRPr="006C0EC8" w:rsidRDefault="006C0EC8" w:rsidP="003609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Lista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cuprinzând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interes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public; </w:t>
      </w:r>
    </w:p>
    <w:p w14:paraId="1D8F6C29" w14:textId="77777777" w:rsidR="006C0EC8" w:rsidRPr="006C0EC8" w:rsidRDefault="006C0EC8" w:rsidP="003609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Lista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cuprinzând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categoriile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elaborate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şi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/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sau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gestionate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potrivit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legii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</w:p>
    <w:p w14:paraId="22351CFD" w14:textId="77777777" w:rsidR="006C0EC8" w:rsidRPr="006C0EC8" w:rsidRDefault="006C0EC8" w:rsidP="003609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Modalităţile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contestare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deciziei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autorităţii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situaţia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persoana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se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consideră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vătămată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privinţa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dreptului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acces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informaţiile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interes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public solicitate; </w:t>
      </w:r>
    </w:p>
    <w:p w14:paraId="6AA5E34F" w14:textId="77777777" w:rsidR="006C0EC8" w:rsidRPr="006C0EC8" w:rsidRDefault="006C0EC8" w:rsidP="003609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Raportul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anual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activitate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autorităţii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</w:p>
    <w:p w14:paraId="790E3FE3" w14:textId="77777777" w:rsidR="006C0EC8" w:rsidRPr="006C0EC8" w:rsidRDefault="006C0EC8" w:rsidP="003609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Raportul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periodic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activitate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autorităţii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după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publicarea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potrivit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art. 5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alin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 (3) din Legea nr.544/2001. </w:t>
      </w:r>
    </w:p>
    <w:p w14:paraId="32B5E0C6" w14:textId="77777777" w:rsidR="006C0EC8" w:rsidRPr="006C0EC8" w:rsidRDefault="006C0EC8" w:rsidP="006C0EC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Lista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informaţiilor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interes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public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comunicate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cerere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, 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potrivit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art. 6 din Legea nr. 544/2001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privind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liberul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acces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informaţiile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interes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public,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modificată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şi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completată</w:t>
      </w:r>
      <w:proofErr w:type="spellEnd"/>
    </w:p>
    <w:p w14:paraId="067CE8C5" w14:textId="36E5488C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Hotararile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Consiliului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 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comunei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proofErr w:type="spellStart"/>
      <w:r w:rsidR="00360910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Fârdea</w:t>
      </w:r>
      <w:proofErr w:type="spellEnd"/>
    </w:p>
    <w:p w14:paraId="00FA8312" w14:textId="48BEE504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Dispozitiile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caracter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normativ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emise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primarul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comunei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proofErr w:type="spellStart"/>
      <w:r w:rsidR="00360910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Fârdea</w:t>
      </w:r>
      <w:proofErr w:type="spellEnd"/>
    </w:p>
    <w:p w14:paraId="2582F12E" w14:textId="4ACE6CAF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Componența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nominală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Consiliului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 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comunei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proofErr w:type="spellStart"/>
      <w:r w:rsidR="00360910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Fârdea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inclusiv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apartenența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politică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comisiile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specialitate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regulamentul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funcționare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Consiliului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local. </w:t>
      </w:r>
    </w:p>
    <w:p w14:paraId="2B6B2890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Rapoartele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anuale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activitate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intocmite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consilierii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locali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</w:p>
    <w:p w14:paraId="48FFD9CA" w14:textId="1485DD00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Informări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intocmite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primarul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comunei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proofErr w:type="spellStart"/>
      <w:r w:rsidR="00360910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Fârdea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privind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starea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economico-socială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comunei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proofErr w:type="spellStart"/>
      <w:r w:rsidR="00360910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Fârdea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rapoartele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anuale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activitate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economico-socială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precum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informari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asupra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modului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aducere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indeplinire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hotărârilor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Consiliului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local. </w:t>
      </w:r>
    </w:p>
    <w:p w14:paraId="1A5308CB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referitoare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propunerile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cetațenilor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 </w:t>
      </w:r>
    </w:p>
    <w:p w14:paraId="7E850CD7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Planul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urbanistic general,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planurile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urbanistice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zonale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planurile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situatie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 </w:t>
      </w:r>
    </w:p>
    <w:p w14:paraId="514A7DAE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Lista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certificatelor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urbanism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gram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</w:t>
      </w:r>
      <w:proofErr w:type="gram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autorizatiilor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construire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/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desființare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eliberate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 </w:t>
      </w:r>
    </w:p>
    <w:p w14:paraId="31C45381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Situatia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statistică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privind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activitatea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stare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civila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: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numarul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nasterilor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căsătoriilor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deceselor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alte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asemenea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 </w:t>
      </w:r>
    </w:p>
    <w:p w14:paraId="53C446CA" w14:textId="3601ACFD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Lista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beneficiarilor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venitului</w:t>
      </w:r>
      <w:proofErr w:type="spellEnd"/>
      <w:r w:rsidR="00360910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="00360910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incluziune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 </w:t>
      </w:r>
    </w:p>
    <w:p w14:paraId="2BDCA5CD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Activitățile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locurile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in care se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prestează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munca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in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folosul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comunității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prezența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lunară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muncă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beneficiarilor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ajutorului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social. </w:t>
      </w:r>
    </w:p>
    <w:p w14:paraId="4AD16AF6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Lista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achiziții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publice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servicii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lucăari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 </w:t>
      </w:r>
    </w:p>
    <w:p w14:paraId="5F012FC4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Dosarul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achizițiilor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publice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inclusiv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contractele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achizțtii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bunuri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servicii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 </w:t>
      </w:r>
    </w:p>
    <w:p w14:paraId="4B924838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Organizarea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concursurilor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pentru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ocuparea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posturilor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vacante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 </w:t>
      </w:r>
    </w:p>
    <w:p w14:paraId="45E97A43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Nivelul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impozitelor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taxelor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stabilite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conform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hotararilor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consiliului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modul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calcul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acestora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facilitatile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fiscale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care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beneficiază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anumite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categorii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cetateni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informatii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privesc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aplicarea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Legii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nr. 571/2003,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modificata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completata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privind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Codul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Fiscal. </w:t>
      </w:r>
    </w:p>
    <w:p w14:paraId="29044817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stau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baza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organizării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și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desfășurării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licitațiilor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publice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</w:p>
    <w:p w14:paraId="244E557A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lastRenderedPageBreak/>
        <w:t>Studii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fezabilitate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proiecte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avize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stau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baza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finanțării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obiectivelor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investiții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interes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 </w:t>
      </w:r>
    </w:p>
    <w:p w14:paraId="6C31E8DB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Declarațiile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avere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și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declarațiile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interese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ale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aleșilor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locali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și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ale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funcționarilor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publici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</w:p>
    <w:p w14:paraId="51BF1AF6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Ofertele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vânzare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terenurilor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agricole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</w:p>
    <w:p w14:paraId="2B7A1D85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Relatii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colaborare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sau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parteneriat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autoritatile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publice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din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țară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 </w:t>
      </w:r>
    </w:p>
    <w:p w14:paraId="06CB3C1B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Lista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certificatelor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producator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eliberate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 </w:t>
      </w:r>
    </w:p>
    <w:p w14:paraId="3DCD818B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Informatii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privind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activitatea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cultural –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sportivă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desfășurată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teritoriul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comunei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Unirea. </w:t>
      </w:r>
    </w:p>
    <w:p w14:paraId="0FEF9202" w14:textId="77777777" w:rsidR="006C0EC8" w:rsidRP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Relatii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cu O.N.G. –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uri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programe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colaborari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 </w:t>
      </w:r>
    </w:p>
    <w:p w14:paraId="74C10867" w14:textId="77777777" w:rsidR="006C0EC8" w:rsidRDefault="006C0EC8" w:rsidP="003609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Informatii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despre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programele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finantare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externă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</w:t>
      </w:r>
    </w:p>
    <w:p w14:paraId="3ABF67E4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3F819525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5E74EA79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224189FF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0A6CD722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079C08B3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7B9EA774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3E8C3D2C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7A41982D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330C2774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191D1329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187CB595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04218991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48F81821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70A5C507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557EF04E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7F5CC1A1" w14:textId="77777777" w:rsidR="00360910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31F2B0C2" w14:textId="77777777" w:rsidR="00360910" w:rsidRPr="006C0EC8" w:rsidRDefault="00360910" w:rsidP="003609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</w:p>
    <w:p w14:paraId="2C6C41AB" w14:textId="77777777" w:rsidR="006C0EC8" w:rsidRPr="006C0EC8" w:rsidRDefault="006C0EC8" w:rsidP="006C0EC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lastRenderedPageBreak/>
        <w:t xml:space="preserve">Lista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informaţiilor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ce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se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exceptează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de la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accesul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liber al </w:t>
      </w:r>
      <w:proofErr w:type="spellStart"/>
      <w:proofErr w:type="gram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cetățenilor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  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potrivit</w:t>
      </w:r>
      <w:proofErr w:type="spellEnd"/>
      <w:proofErr w:type="gram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art. 15 din Legea nr. 544/2001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privind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liberul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acces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informaţiile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interes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public, 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modificată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şi</w:t>
      </w:r>
      <w:proofErr w:type="spellEnd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b/>
          <w:bCs/>
          <w:color w:val="010000"/>
          <w:kern w:val="0"/>
          <w14:ligatures w14:val="none"/>
        </w:rPr>
        <w:t>completată</w:t>
      </w:r>
      <w:proofErr w:type="spellEnd"/>
    </w:p>
    <w:p w14:paraId="5020067A" w14:textId="77777777" w:rsidR="006C0EC8" w:rsidRPr="006C0EC8" w:rsidRDefault="006C0EC8" w:rsidP="00360910">
      <w:pPr>
        <w:spacing w:after="100" w:afterAutospacing="1" w:line="240" w:lineRule="auto"/>
        <w:ind w:left="90"/>
        <w:rPr>
          <w:rFonts w:ascii="Times New Roman" w:eastAsia="Times New Roman" w:hAnsi="Times New Roman" w:cs="Times New Roman"/>
          <w:color w:val="010000"/>
          <w:kern w:val="0"/>
          <w14:ligatures w14:val="none"/>
        </w:rPr>
      </w:pP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1.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caracter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personal care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însoţesc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hotărârile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consiliului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și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dispoziţiile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primarului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2.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Deliberările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consiliului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cazurile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care,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potrivit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legii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, s-</w:t>
      </w:r>
      <w:proofErr w:type="gram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</w:t>
      </w:r>
      <w:proofErr w:type="gram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aprobat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acestea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nu fie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publice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precum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întocmite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aceste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situaţii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3.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stare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civilă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privesc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statutul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civil 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persoanei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cum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fi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și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certificate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nastere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deces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precum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copii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ale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acestora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dosare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căsătorie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menţiuni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referitoare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modificarea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statutului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civil 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persoanei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alte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asemenea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excepţia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situaţiilor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statistice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referitoare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faptele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stare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civilă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înregistrate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nivelul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comunei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4.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Dosarele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schimbare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nume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pe cale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administativă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rectificare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anulare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completare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transcriere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certificate de stare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civilă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înregistrare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tardivă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nasterii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moarte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prezumată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5.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Prelucrări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date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caracter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personal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fără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consimţământul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persoanei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vizate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;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listele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electorale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permanente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6.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Procesele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-verbale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constatare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sancţionare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contravenţiilor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7.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Certificatele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urbanism;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8.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Autorizaţiile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construire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9.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Cererile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petiţiile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precum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reclamaţiile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sesizările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adresate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Primăriei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Consiliul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fără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acordul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semnatarilor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10.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Informaţiile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privire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impozitele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taxele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locale,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alte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obligaţii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ale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plătitorilor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care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ţin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păstarea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secretului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fiscal;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11.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Informaţii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primite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la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bănci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organe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poliţie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instituţii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gestionează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registre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publice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sau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alte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asemenea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care au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caracter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confidenţial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12.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care se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întocmesc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potrivit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Legii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protecţiei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civile nr.481/2004 precum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și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pentru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situații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urgență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întocmite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baza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actelor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normative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vigoare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13.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caracter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militar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care se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întocmesc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baza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H.G.R. nr.25/1996;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14.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care se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întocmesc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baza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Legii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nr.132/1997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privind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rechiziţiile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debunuri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prestări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servicii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interes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public;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15.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Planul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analiză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acoperire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riscurilor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16.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Contractele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civile,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contractele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administrative,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dacă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acestea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conţin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clauze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confidenţialitate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17.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Rapoartele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audit intern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procesele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verbale de control;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18.Documetele care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privesc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persoanele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fizice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aflate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dosarele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care fac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obiectul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unor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dosare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soluţionate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definitiv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irevocabil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19.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privesc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persoanele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fizice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aflate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arhiva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proprie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20.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Informaţiile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privire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datele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personale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ale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salariaţiilor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din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aparatul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specialitate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primarului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dacă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normative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vigoare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nu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prevăd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altfel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21.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Dosarele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aflate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rolurile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instanțelor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judecată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și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compun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primarul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consiliul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local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sau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una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din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instituțiile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subordonate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este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parte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22.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conținute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în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dosarul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achiziției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publice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conțin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informații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clasificate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sau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protejate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un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drept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proprietate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intelectuală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potrivit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legii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23.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Sesizările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și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comisiei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disciplină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informațiile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privind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procedura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disciplinară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și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rezultate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din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cercetarea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administrativă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excepția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raportului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privind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propunerea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sancționare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24.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căror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comunicare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publică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poate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afecta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principiul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liberei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concurențe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sau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care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poate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influența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dosarele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aflate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rolul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instanțelor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judecătorești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;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25. Alte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documente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caracter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personal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sau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preluări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de date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caracter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  <w:t xml:space="preserve">personal care cad sub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incidenţa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Legii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nr.677/2001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pentru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protecţia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 </w:t>
      </w:r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br/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lastRenderedPageBreak/>
        <w:t>persoanelor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privire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prelucrarea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datelor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cu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caracter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personal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si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libera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circulaţie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a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datelor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,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respectiv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orice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informație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referitoare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la o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persoană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fizică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identificată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sau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 xml:space="preserve"> </w:t>
      </w:r>
      <w:proofErr w:type="spellStart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identificabilă</w:t>
      </w:r>
      <w:proofErr w:type="spellEnd"/>
      <w:r w:rsidRPr="006C0EC8">
        <w:rPr>
          <w:rFonts w:ascii="Times New Roman" w:eastAsia="Times New Roman" w:hAnsi="Times New Roman" w:cs="Times New Roman"/>
          <w:color w:val="010000"/>
          <w:kern w:val="0"/>
          <w14:ligatures w14:val="none"/>
        </w:rPr>
        <w:t>.</w:t>
      </w:r>
    </w:p>
    <w:p w14:paraId="4DBFFDCD" w14:textId="77777777" w:rsidR="006C0EC8" w:rsidRPr="006C0EC8" w:rsidRDefault="006C0EC8" w:rsidP="00360910">
      <w:pPr>
        <w:rPr>
          <w:rFonts w:ascii="Times New Roman" w:hAnsi="Times New Roman" w:cs="Times New Roman"/>
          <w:sz w:val="36"/>
          <w:szCs w:val="36"/>
        </w:rPr>
      </w:pPr>
    </w:p>
    <w:sectPr w:rsidR="006C0EC8" w:rsidRPr="006C0EC8" w:rsidSect="00360910">
      <w:pgSz w:w="12240" w:h="15840"/>
      <w:pgMar w:top="1440" w:right="63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FB7"/>
    <w:multiLevelType w:val="multilevel"/>
    <w:tmpl w:val="620E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497AD1"/>
    <w:multiLevelType w:val="multilevel"/>
    <w:tmpl w:val="EABE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313867">
    <w:abstractNumId w:val="0"/>
  </w:num>
  <w:num w:numId="2" w16cid:durableId="1234122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C8"/>
    <w:rsid w:val="00360910"/>
    <w:rsid w:val="006C0EC8"/>
    <w:rsid w:val="0073346D"/>
    <w:rsid w:val="00A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9327"/>
  <w15:chartTrackingRefBased/>
  <w15:docId w15:val="{78D9410F-F3F3-453F-9C94-0807009C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E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E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E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E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2026-03-17T10:09:00Z</dcterms:created>
  <dcterms:modified xsi:type="dcterms:W3CDTF">2026-03-17T12:16:00Z</dcterms:modified>
</cp:coreProperties>
</file>